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2E75B6"/>
          <w:sz w:val="22"/>
          <w:szCs w:val="22"/>
        </w:rPr>
        <w:t xml:space="preserve">PRODLOG</w:t>
      </w:r>
    </w:p>
    <w:p>
      <w:pPr>
        <w:pStyle w:val="Heading1"/>
        <w:spacing w:after="100" w:before="0"/>
      </w:pPr>
      <w:r>
        <w:t xml:space="preserve">PM Promotion Packet Template</w:t>
      </w:r>
    </w:p>
    <w:p>
      <w:pPr>
        <w:spacing w:after="260"/>
      </w:pPr>
      <w:r>
        <w:rPr>
          <w:b w:val="false"/>
          <w:bCs w:val="false"/>
          <w:i w:val="false"/>
          <w:iCs w:val="false"/>
          <w:color w:val="5A5A5A"/>
          <w:sz w:val="22"/>
          <w:szCs w:val="22"/>
        </w:rPr>
        <w:t xml:space="preserve">A structured case for your next level — scope, impact, next-level behaviors, and endorsements — built the way promotion committees actually read.</w:t>
      </w:r>
    </w:p>
    <w:p>
      <w:pPr>
        <w:pBdr>
          <w:bottom w:val="single" w:color="2E75B6" w:sz="6" w:space="4"/>
        </w:pBdr>
        <w:spacing w:after="220"/>
      </w:pPr>
    </w:p>
    <w:p>
      <w:pPr>
        <w:pStyle w:val="Heading2"/>
        <w:spacing w:after="120" w:before="340"/>
      </w:pPr>
      <w:r>
        <w:t xml:space="preserve">How promotion cases actually get read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A promotion packet answers one question: “Is this person already operating at the next level?” Not “have they done good work” — committees assume that. The packet's job is to map your evidence against next-level expectations, and to show that others (not just you) see it.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Get your company's level definitions first. Every claim in this packet should map to a specific expectation at the target level.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Evidence beats narrative. Three verified examples outweigh ten paragraphs of self-description.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Recency and consistency both matter — show the behavior sustained over 2+ quarters, not a single heroic project.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Your manager is your sponsor, not your audience. Write the packet so your manager can defend it in a calibration room without you present.</w:t>
      </w:r>
    </w:p>
    <w:p>
      <w:pPr>
        <w:spacing w:after="200" w:before="80"/>
        <w:ind w:left="200"/>
      </w:pPr>
      <w:r>
        <w:rPr>
          <w:b/>
          <w:bCs/>
          <w:color w:val="2E75B6"/>
          <w:sz w:val="19"/>
          <w:szCs w:val="19"/>
        </w:rPr>
        <w:t xml:space="preserve">Tip: </w:t>
      </w:r>
      <w:r>
        <w:rPr>
          <w:i/>
          <w:iCs/>
          <w:color w:val="5A5A5A"/>
          <w:sz w:val="19"/>
          <w:szCs w:val="19"/>
        </w:rPr>
        <w:t xml:space="preserve">Start this document two quarters before you want the promotion, not two weeks. The gap analysis in Section 5 tells you what to go do.</w:t>
      </w:r>
    </w:p>
    <w:p>
      <w:pPr>
        <w:pStyle w:val="Heading2"/>
        <w:spacing w:after="120" w:before="340"/>
      </w:pPr>
      <w:r>
        <w:t xml:space="preserve">Section 1 — The one-paragraph case</w:t>
      </w:r>
    </w:p>
    <w:p>
      <w:pPr>
        <w:spacing w:after="16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Target level: ______________     Current level: ______________     Time in level: ______________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In 3–4 sentences: what scope you now operate at, the strongest evidence, and why the timing is now. Write this last — it's a summary, not an introduction.</w:t>
      </w:r>
    </w:p>
    <w:p>
      <w:pPr>
        <w:spacing w:after="8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_____________________________________________________________________</w:t>
      </w:r>
    </w:p>
    <w:p>
      <w:pPr>
        <w:spacing w:after="8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_____________________________________________________________________</w:t>
      </w:r>
    </w:p>
    <w:p>
      <w:pPr>
        <w:spacing w:after="22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_____________________________________________________________________</w:t>
      </w:r>
    </w:p>
    <w:p>
      <w:pPr>
        <w:pStyle w:val="Heading2"/>
        <w:spacing w:after="120" w:before="340"/>
      </w:pPr>
      <w:r>
        <w:t xml:space="preserve">Section 2 — Scope summary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What you own today vs. what you owned at the start of the period. Committees look for scope growth that happened before the title changed.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Dimension</w:t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Start of period</w:t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Now</w:t>
            </w:r>
          </w:p>
        </w:tc>
      </w:tr>
      <w:tr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Product surface / area owned</w:t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Team size you work across</w:t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Decision authority</w:t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Stakeholder level you operate with</w:t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pPr>
        <w:pStyle w:val="Heading2"/>
        <w:spacing w:after="120" w:before="340"/>
      </w:pPr>
      <w:r>
        <w:t xml:space="preserve">Section 3 — Impact evidence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Your 4–6 strongest entries from the period, each mapped to a next-level expectation. Pull these from your brag document — don't reconstruct from memory.</w:t>
      </w:r>
    </w:p>
    <w:p>
      <w:pPr>
        <w:spacing w:after="100"/>
      </w:pPr>
      <w:r>
        <w:rPr>
          <w:b w:val="false"/>
          <w:bCs w:val="false"/>
          <w:i/>
          <w:iCs/>
          <w:color w:val="5A5A5A"/>
          <w:sz w:val="18"/>
          <w:szCs w:val="18"/>
        </w:rPr>
        <w:t xml:space="preserve">Worked example: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2100"/>
        <w:gridCol w:w="2400"/>
        <w:gridCol w:w="2560"/>
      </w:tblGrid>
      <w:tr>
        <w:tc>
          <w:tcPr>
            <w:tcW w:type="dxa" w:w="23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Initiative &amp; role</w:t>
            </w:r>
          </w:p>
        </w:tc>
        <w:tc>
          <w:tcPr>
            <w:tcW w:type="dxa" w:w="21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Outcome</w:t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Next-level expectation it maps to</w:t>
            </w:r>
          </w:p>
        </w:tc>
        <w:tc>
          <w:tcPr>
            <w:tcW w:type="dxa" w:w="25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Verified by</w:t>
            </w:r>
          </w:p>
        </w:tc>
      </w:tr>
      <w:tr>
        <w:tc>
          <w:tcPr>
            <w:tcW w:type="dxa" w:w="23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/>
                <w:iCs/>
                <w:color w:val="5A5A5A"/>
                <w:sz w:val="19"/>
                <w:szCs w:val="19"/>
              </w:rPr>
              <w:t xml:space="preserve">Checkout redesign — led end-to-end</w:t>
            </w:r>
          </w:p>
        </w:tc>
        <w:tc>
          <w:tcPr>
            <w:tcW w:type="dxa" w:w="21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/>
                <w:iCs/>
                <w:color w:val="5A5A5A"/>
                <w:sz w:val="19"/>
                <w:szCs w:val="19"/>
              </w:rPr>
              <w:t xml:space="preserve">+14% conversion, +$2.4M ARR</w:t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/>
                <w:iCs/>
                <w:color w:val="5A5A5A"/>
                <w:sz w:val="19"/>
                <w:szCs w:val="19"/>
              </w:rPr>
              <w:t xml:space="preserve">“Drives outcomes across multiple teams without escalation”</w:t>
            </w:r>
          </w:p>
        </w:tc>
        <w:tc>
          <w:tcPr>
            <w:tcW w:type="dxa" w:w="25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/>
                <w:iCs/>
                <w:color w:val="5A5A5A"/>
                <w:sz w:val="19"/>
                <w:szCs w:val="19"/>
              </w:rPr>
              <w:t xml:space="preserve">Eng lead (confirmed in writing)</w:t>
            </w:r>
          </w:p>
        </w:tc>
      </w:tr>
    </w:tbl>
    <w:p>
      <w:pPr>
        <w:spacing w:after="8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/>
      </w:r>
    </w:p>
    <w:p>
      <w:pPr>
        <w:spacing w:after="100"/>
      </w:pPr>
      <w:r>
        <w:rPr>
          <w:b/>
          <w:bCs/>
          <w:i w:val="false"/>
          <w:iCs w:val="false"/>
          <w:color w:val="1A1A1A"/>
          <w:sz w:val="19"/>
          <w:szCs w:val="19"/>
        </w:rPr>
        <w:t xml:space="preserve">Your entries: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2100"/>
        <w:gridCol w:w="2400"/>
        <w:gridCol w:w="2560"/>
      </w:tblGrid>
      <w:tr>
        <w:tc>
          <w:tcPr>
            <w:tcW w:type="dxa" w:w="23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Initiative &amp; role</w:t>
            </w:r>
          </w:p>
        </w:tc>
        <w:tc>
          <w:tcPr>
            <w:tcW w:type="dxa" w:w="21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Outcome</w:t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Next-level expectation it maps to</w:t>
            </w:r>
          </w:p>
        </w:tc>
        <w:tc>
          <w:tcPr>
            <w:tcW w:type="dxa" w:w="25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Verified by</w:t>
            </w:r>
          </w:p>
        </w:tc>
      </w:tr>
      <w:tr>
        <w:tc>
          <w:tcPr>
            <w:tcW w:type="dxa" w:w="23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1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5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1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5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1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5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1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5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1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5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1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5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2"/>
        <w:spacing w:after="120" w:before="340"/>
      </w:pPr>
      <w:r>
        <w:t xml:space="preserve">Section 4 — Next-level behaviors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For each behavior your level framework defines at the target level, one concrete example. “Already doing it” is the entire argument of a promotion packet.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Next-level behavior (from your framework)</w:t>
            </w:r>
          </w:p>
        </w:tc>
        <w:tc>
          <w:tcPr>
            <w:tcW w:type="dxa" w:w="59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Concrete example from the period</w:t>
            </w:r>
          </w:p>
        </w:tc>
      </w:tr>
      <w:tr>
        <w:tc>
          <w:tcPr>
            <w:tcW w:type="dxa" w:w="3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59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59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59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59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pPr>
        <w:pStyle w:val="Heading2"/>
        <w:spacing w:after="120" w:before="340"/>
      </w:pPr>
      <w:r>
        <w:t xml:space="preserve">Section 5 — Gaps and plan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Name the gap before the committee does. A packet that acknowledges its weakest dimension — with a plan — reads as senior. One that claims perfection reads as junior.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Known gap</w:t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What you're doing about it</w:t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Evidence so far</w:t>
            </w:r>
          </w:p>
        </w:tc>
      </w:tr>
      <w:tr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pPr>
        <w:pStyle w:val="Heading2"/>
        <w:spacing w:after="120" w:before="340"/>
      </w:pPr>
      <w:r>
        <w:t xml:space="preserve">Section 6 — Endorsements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2–4 short quotes from collaborators at or above the target level — a sentence each, tied to a specific initiative. Ask the people named in your impact entries; specific beats senior.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4360"/>
      </w:tblGrid>
      <w:tr>
        <w:tc>
          <w:tcPr>
            <w:tcW w:type="dxa" w:w="2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Name &amp; role</w:t>
            </w:r>
          </w:p>
        </w:tc>
        <w:tc>
          <w:tcPr>
            <w:tcW w:type="dxa" w:w="2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Initiative they can speak to</w:t>
            </w:r>
          </w:p>
        </w:tc>
        <w:tc>
          <w:tcPr>
            <w:tcW w:type="dxa" w:w="43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Their one-line confirmation</w:t>
            </w:r>
          </w:p>
        </w:tc>
      </w:tr>
      <w:tr>
        <w:tc>
          <w:tcPr>
            <w:tcW w:type="dxa" w:w="2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43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43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43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pPr>
        <w:spacing w:after="12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/>
      </w:r>
    </w:p>
    <w:p>
      <w:pPr>
        <w:pBdr>
          <w:bottom w:val="single" w:color="2E75B6" w:sz="6" w:space="4"/>
        </w:pBdr>
        <w:spacing w:after="220"/>
      </w:pPr>
    </w:p>
    <w:p>
      <w:pPr>
        <w:pStyle w:val="Heading2"/>
        <w:spacing w:after="120" w:before="340"/>
      </w:pPr>
      <w:r>
        <w:t xml:space="preserve">Pre-submission checklist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sz w:val="21"/>
          <w:szCs w:val="21"/>
        </w:rPr>
        <w:t xml:space="preserve">Every impact entry maps to a named next-level expectation — no orphan wins.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sz w:val="21"/>
          <w:szCs w:val="21"/>
        </w:rPr>
        <w:t xml:space="preserve">At least half your evidence is from the last two quarters.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sz w:val="21"/>
          <w:szCs w:val="21"/>
        </w:rPr>
        <w:t xml:space="preserve">At least two claims are confirmed by someone other than you.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sz w:val="21"/>
          <w:szCs w:val="21"/>
        </w:rPr>
        <w:t xml:space="preserve">Your manager has read it and can defend it without you in the room.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sz w:val="21"/>
          <w:szCs w:val="21"/>
        </w:rPr>
        <w:t xml:space="preserve">The gap section exists and is honest.</w:t>
      </w:r>
    </w:p>
    <w:p>
      <w:pPr>
        <w:spacing w:after="10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/>
      </w:r>
    </w:p>
    <w:p>
      <w:pPr>
        <w:spacing w:after="140"/>
      </w:pPr>
      <w:r>
        <w:rPr>
          <w:b w:val="false"/>
          <w:bCs w:val="false"/>
          <w:i/>
          <w:iCs/>
          <w:color w:val="5A5A5A"/>
          <w:sz w:val="20"/>
          <w:szCs w:val="20"/>
        </w:rPr>
        <w:t xml:space="preserve">Prefer not to maintain this by hand? prodlog.app logs your wins as you go and generates this for you — free to start.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0"/>
      <w:outlineLvl w:val="0"/>
    </w:pPr>
    <w:rPr>
      <w:rFonts w:ascii="Calibri" w:cs="Calibri" w:eastAsia="Calibri" w:hAnsi="Calibri"/>
      <w:b/>
      <w:bCs/>
      <w:color w:val="1E3A5F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40" w:before="300"/>
      <w:outlineLvl w:val="1"/>
    </w:pPr>
    <w:rPr>
      <w:rFonts w:ascii="Calibri" w:cs="Calibri" w:eastAsia="Calibri" w:hAnsi="Calibri"/>
      <w:b/>
      <w:bCs/>
      <w:color w:val="1E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20"/>
      <w:outlineLvl w:val="2"/>
    </w:pPr>
    <w:rPr>
      <w:rFonts w:ascii="Calibri" w:cs="Calibri" w:eastAsia="Calibri" w:hAnsi="Calibri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2026-07-03T13:26:33.982Z</dcterms:created>
  <dcterms:modified xsi:type="dcterms:W3CDTF">2026-07-03T13:26:33.982Z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